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9B954" w14:textId="77777777" w:rsidR="00DF4E0A" w:rsidRPr="00335FCF" w:rsidRDefault="00DF4E0A" w:rsidP="00DF4E0A">
      <w:pPr>
        <w:jc w:val="center"/>
        <w:rPr>
          <w:b/>
          <w:bCs/>
          <w:sz w:val="20"/>
          <w:szCs w:val="20"/>
        </w:rPr>
      </w:pPr>
      <w:r w:rsidRPr="00335FCF">
        <w:rPr>
          <w:b/>
          <w:bCs/>
          <w:sz w:val="20"/>
          <w:szCs w:val="20"/>
        </w:rPr>
        <w:t>Urbanisme :</w:t>
      </w:r>
    </w:p>
    <w:p w14:paraId="4097AFFF" w14:textId="77777777" w:rsidR="00DF4E0A" w:rsidRPr="00335FCF" w:rsidRDefault="00DF4E0A" w:rsidP="00DF4E0A">
      <w:pPr>
        <w:jc w:val="center"/>
        <w:rPr>
          <w:b/>
          <w:bCs/>
          <w:sz w:val="20"/>
          <w:szCs w:val="20"/>
        </w:rPr>
      </w:pPr>
      <w:r w:rsidRPr="00335FCF">
        <w:rPr>
          <w:b/>
          <w:bCs/>
          <w:sz w:val="20"/>
          <w:szCs w:val="20"/>
        </w:rPr>
        <w:t>le Grand-Figeac fait évoluer son PLUi</w:t>
      </w:r>
    </w:p>
    <w:p w14:paraId="1647935E" w14:textId="77777777" w:rsidR="00DF4E0A" w:rsidRPr="00335FCF" w:rsidRDefault="00DF4E0A" w:rsidP="00DF4E0A">
      <w:pPr>
        <w:jc w:val="center"/>
        <w:rPr>
          <w:b/>
          <w:bCs/>
          <w:sz w:val="20"/>
          <w:szCs w:val="20"/>
        </w:rPr>
      </w:pPr>
    </w:p>
    <w:p w14:paraId="52ED4CCC" w14:textId="77777777" w:rsidR="00DF4E0A" w:rsidRPr="00335FCF" w:rsidRDefault="00DF4E0A" w:rsidP="00A93A55">
      <w:pPr>
        <w:jc w:val="both"/>
        <w:rPr>
          <w:b/>
          <w:bCs/>
          <w:sz w:val="20"/>
          <w:szCs w:val="20"/>
        </w:rPr>
      </w:pPr>
      <w:r w:rsidRPr="00335FCF">
        <w:rPr>
          <w:b/>
          <w:bCs/>
          <w:sz w:val="20"/>
          <w:szCs w:val="20"/>
        </w:rPr>
        <w:t>Après près d’un an de mise en œuvre, le Grand-Figeac engage une modification de son Plan Local d’Urbanisme intercommunal (PLUi). Cette démarche vise à ajuster certaines règles, corriger les erreurs identifiées et accompagner les évolutions des projets du territoire, tout en respectant le cadre réglementaire. Les habitants sont également invités à prendre part à la concertation publique.</w:t>
      </w:r>
    </w:p>
    <w:p w14:paraId="74A80B2B" w14:textId="77777777" w:rsidR="00DF4E0A" w:rsidRPr="00335FCF" w:rsidRDefault="00DF4E0A" w:rsidP="00A93A55">
      <w:pPr>
        <w:jc w:val="both"/>
        <w:rPr>
          <w:b/>
          <w:bCs/>
          <w:sz w:val="20"/>
          <w:szCs w:val="20"/>
        </w:rPr>
      </w:pPr>
    </w:p>
    <w:p w14:paraId="6DC16163" w14:textId="77777777" w:rsidR="00DF4E0A" w:rsidRPr="00335FCF" w:rsidRDefault="00DF4E0A" w:rsidP="00A93A55">
      <w:pPr>
        <w:jc w:val="both"/>
        <w:rPr>
          <w:sz w:val="20"/>
          <w:szCs w:val="20"/>
        </w:rPr>
      </w:pPr>
    </w:p>
    <w:p w14:paraId="2EC1FB0B" w14:textId="70D52898" w:rsidR="00DF4E0A" w:rsidRPr="00335FCF" w:rsidRDefault="00DF4E0A" w:rsidP="00A93A55">
      <w:pPr>
        <w:jc w:val="both"/>
        <w:rPr>
          <w:sz w:val="20"/>
          <w:szCs w:val="20"/>
        </w:rPr>
      </w:pPr>
      <w:r w:rsidRPr="00335FCF">
        <w:rPr>
          <w:sz w:val="20"/>
          <w:szCs w:val="20"/>
        </w:rPr>
        <w:t>Après près d’un an de mise en œuvre, le Plan Local d’Urbanisme intercommunal (PLUi) du Grand-Figeac va connaître plusieurs ajustements. Objectif : préciser certaines règles, corriger les erreurs</w:t>
      </w:r>
      <w:r w:rsidR="00A93A55">
        <w:rPr>
          <w:sz w:val="20"/>
          <w:szCs w:val="20"/>
        </w:rPr>
        <w:t xml:space="preserve"> matérielles</w:t>
      </w:r>
      <w:r w:rsidRPr="00335FCF">
        <w:rPr>
          <w:sz w:val="20"/>
          <w:szCs w:val="20"/>
        </w:rPr>
        <w:t xml:space="preserve"> identifiées</w:t>
      </w:r>
      <w:r w:rsidR="00A93A55">
        <w:rPr>
          <w:sz w:val="20"/>
          <w:szCs w:val="20"/>
        </w:rPr>
        <w:t xml:space="preserve"> à l’instruction</w:t>
      </w:r>
      <w:r w:rsidRPr="00335FCF">
        <w:rPr>
          <w:sz w:val="20"/>
          <w:szCs w:val="20"/>
        </w:rPr>
        <w:t xml:space="preserve"> et accompagner les évolutions des projets du territoire, dans le respect du cadre réglementaire.</w:t>
      </w:r>
    </w:p>
    <w:p w14:paraId="62C89402" w14:textId="284C83D8" w:rsidR="00DF4E0A" w:rsidRPr="00335FCF" w:rsidRDefault="00DF4E0A" w:rsidP="00A93A55">
      <w:pPr>
        <w:jc w:val="both"/>
        <w:rPr>
          <w:sz w:val="20"/>
          <w:szCs w:val="20"/>
        </w:rPr>
      </w:pPr>
      <w:r w:rsidRPr="00335FCF">
        <w:rPr>
          <w:sz w:val="20"/>
          <w:szCs w:val="20"/>
        </w:rPr>
        <w:t>Adopté en juillet 2025, le Plan Local d’Urbanisme intercommunal constitue un document stratégique pour l’aménagement et le développement du territoire du Grand-Figeac. Après presque une année de mise en œuvre, la collectivité engage aujourd’hui une nouvelle étape : faire évoluer ce document pour tenir compte des premiers retours d’expérience et des besoins qui se sont exprimés depuis son approbation.</w:t>
      </w:r>
      <w:r w:rsidR="00A93A55">
        <w:rPr>
          <w:sz w:val="20"/>
          <w:szCs w:val="20"/>
        </w:rPr>
        <w:t xml:space="preserve"> Cela est une demande normale sur ce type de document et avait été annoncé dès son approbation.</w:t>
      </w:r>
    </w:p>
    <w:p w14:paraId="43E307B6" w14:textId="77777777" w:rsidR="00DF4E0A" w:rsidRPr="00335FCF" w:rsidRDefault="00DF4E0A" w:rsidP="00A93A55">
      <w:pPr>
        <w:jc w:val="both"/>
        <w:rPr>
          <w:sz w:val="20"/>
          <w:szCs w:val="20"/>
        </w:rPr>
      </w:pPr>
    </w:p>
    <w:p w14:paraId="1555F776" w14:textId="1E7038CE" w:rsidR="00DF4E0A" w:rsidRPr="00335FCF" w:rsidRDefault="00DF4E0A" w:rsidP="00A93A55">
      <w:pPr>
        <w:jc w:val="both"/>
        <w:rPr>
          <w:sz w:val="20"/>
          <w:szCs w:val="20"/>
        </w:rPr>
      </w:pPr>
      <w:r w:rsidRPr="00335FCF">
        <w:rPr>
          <w:sz w:val="20"/>
          <w:szCs w:val="20"/>
        </w:rPr>
        <w:t>Il ne s’agit pas de revoir entièrement le PLUi, mais de procéder à des ajustements</w:t>
      </w:r>
      <w:r w:rsidR="00A93A55">
        <w:rPr>
          <w:sz w:val="20"/>
          <w:szCs w:val="20"/>
        </w:rPr>
        <w:t xml:space="preserve"> essentiellement </w:t>
      </w:r>
      <w:r w:rsidR="002245ED">
        <w:rPr>
          <w:sz w:val="20"/>
          <w:szCs w:val="20"/>
        </w:rPr>
        <w:t xml:space="preserve">techniques </w:t>
      </w:r>
      <w:r w:rsidR="00A93A55">
        <w:rPr>
          <w:sz w:val="20"/>
          <w:szCs w:val="20"/>
        </w:rPr>
        <w:t>et localisés</w:t>
      </w:r>
      <w:r w:rsidRPr="00335FCF">
        <w:rPr>
          <w:sz w:val="20"/>
          <w:szCs w:val="20"/>
        </w:rPr>
        <w:t>, dans la limite de ce que permet la réglementation.</w:t>
      </w:r>
    </w:p>
    <w:p w14:paraId="7A3017A0" w14:textId="77777777" w:rsidR="00DF4E0A" w:rsidRPr="00335FCF" w:rsidRDefault="00DF4E0A" w:rsidP="00A93A55">
      <w:pPr>
        <w:jc w:val="both"/>
        <w:rPr>
          <w:sz w:val="20"/>
          <w:szCs w:val="20"/>
        </w:rPr>
      </w:pPr>
      <w:r w:rsidRPr="00335FCF">
        <w:rPr>
          <w:sz w:val="20"/>
          <w:szCs w:val="20"/>
        </w:rPr>
        <w:t>Cette évolution doit notamment permettre de préciser certaines dispositions du règlement, faciliter le traitement des futures demandes des pétitionnaires, et accompagner les évolutions des projets communaux et privés exprimées depuis juillet 2025, tout en restant cohérente avec les orientations fixées dans le Projet d’Aménagement et de Développement Durable (PADD).</w:t>
      </w:r>
    </w:p>
    <w:p w14:paraId="22075CE6" w14:textId="77777777" w:rsidR="00DF4E0A" w:rsidRPr="00335FCF" w:rsidRDefault="00DF4E0A" w:rsidP="00A93A55">
      <w:pPr>
        <w:jc w:val="both"/>
        <w:rPr>
          <w:b/>
          <w:bCs/>
          <w:sz w:val="20"/>
          <w:szCs w:val="20"/>
        </w:rPr>
      </w:pPr>
    </w:p>
    <w:p w14:paraId="0F839C21" w14:textId="77777777" w:rsidR="00DF4E0A" w:rsidRPr="00335FCF" w:rsidRDefault="00DF4E0A" w:rsidP="00A93A55">
      <w:pPr>
        <w:jc w:val="both"/>
        <w:rPr>
          <w:b/>
          <w:bCs/>
          <w:sz w:val="20"/>
          <w:szCs w:val="20"/>
        </w:rPr>
      </w:pPr>
      <w:r w:rsidRPr="00335FCF">
        <w:rPr>
          <w:b/>
          <w:bCs/>
          <w:sz w:val="20"/>
          <w:szCs w:val="20"/>
        </w:rPr>
        <w:t>Une modification du PLUi, et non une révision</w:t>
      </w:r>
    </w:p>
    <w:p w14:paraId="470956C9" w14:textId="77777777" w:rsidR="00DF4E0A" w:rsidRPr="00335FCF" w:rsidRDefault="00DF4E0A" w:rsidP="00A93A55">
      <w:pPr>
        <w:jc w:val="both"/>
        <w:rPr>
          <w:sz w:val="20"/>
          <w:szCs w:val="20"/>
        </w:rPr>
      </w:pPr>
      <w:r w:rsidRPr="00335FCF">
        <w:rPr>
          <w:sz w:val="20"/>
          <w:szCs w:val="20"/>
        </w:rPr>
        <w:t>Ce choix répond à un cadre réglementaire précis. Les évolutions envisagées devront notamment garantir la cohérence interne du document, rester en accord avec le PADD et conserver un bilan de consommation des espaces naturels, forestiers et agricoles équivalent à celui inscrit dans le PLUi.</w:t>
      </w:r>
    </w:p>
    <w:p w14:paraId="4C532AB8" w14:textId="77777777" w:rsidR="00DF4E0A" w:rsidRDefault="00DF4E0A" w:rsidP="00A93A55">
      <w:pPr>
        <w:jc w:val="both"/>
        <w:rPr>
          <w:sz w:val="20"/>
          <w:szCs w:val="20"/>
        </w:rPr>
      </w:pPr>
      <w:r w:rsidRPr="00335FCF">
        <w:rPr>
          <w:sz w:val="20"/>
          <w:szCs w:val="20"/>
        </w:rPr>
        <w:t>La modification ne devra pas non plus entraîner d’impact majeur sur les espaces protégés.</w:t>
      </w:r>
    </w:p>
    <w:p w14:paraId="287B2DD2" w14:textId="52F3FD4A" w:rsidR="00A93A55" w:rsidRPr="00335FCF" w:rsidRDefault="00A93A55" w:rsidP="00A93A55">
      <w:pPr>
        <w:jc w:val="both"/>
        <w:rPr>
          <w:sz w:val="20"/>
          <w:szCs w:val="20"/>
        </w:rPr>
      </w:pPr>
      <w:r>
        <w:rPr>
          <w:sz w:val="20"/>
          <w:szCs w:val="20"/>
        </w:rPr>
        <w:t>Afin de gagner en effi</w:t>
      </w:r>
      <w:r w:rsidR="0031120B">
        <w:rPr>
          <w:sz w:val="20"/>
          <w:szCs w:val="20"/>
        </w:rPr>
        <w:t>cacité</w:t>
      </w:r>
      <w:r>
        <w:rPr>
          <w:sz w:val="20"/>
          <w:szCs w:val="20"/>
        </w:rPr>
        <w:t xml:space="preserve">, c’est donc une modification qui sera </w:t>
      </w:r>
      <w:r w:rsidR="0031120B">
        <w:rPr>
          <w:sz w:val="20"/>
          <w:szCs w:val="20"/>
        </w:rPr>
        <w:t xml:space="preserve">menée </w:t>
      </w:r>
      <w:r>
        <w:rPr>
          <w:sz w:val="20"/>
          <w:szCs w:val="20"/>
        </w:rPr>
        <w:t>pour être effective mi 2027 au plus tard.</w:t>
      </w:r>
    </w:p>
    <w:p w14:paraId="2D9ABC8C" w14:textId="5ADFB765" w:rsidR="00DF4E0A" w:rsidRPr="00335FCF" w:rsidRDefault="00DF4E0A" w:rsidP="00A93A55">
      <w:pPr>
        <w:jc w:val="both"/>
        <w:rPr>
          <w:b/>
          <w:bCs/>
          <w:sz w:val="20"/>
          <w:szCs w:val="20"/>
        </w:rPr>
      </w:pPr>
    </w:p>
    <w:p w14:paraId="24400953" w14:textId="1ABFB26D" w:rsidR="00DF4E0A" w:rsidRPr="00335FCF" w:rsidRDefault="00DF4E0A" w:rsidP="00A93A55">
      <w:pPr>
        <w:jc w:val="both"/>
        <w:rPr>
          <w:b/>
          <w:bCs/>
          <w:sz w:val="20"/>
          <w:szCs w:val="20"/>
        </w:rPr>
      </w:pPr>
      <w:r w:rsidRPr="00335FCF">
        <w:rPr>
          <w:b/>
          <w:bCs/>
          <w:sz w:val="20"/>
          <w:szCs w:val="20"/>
        </w:rPr>
        <w:t xml:space="preserve">Un travail engagé avec les </w:t>
      </w:r>
      <w:r w:rsidR="00A93A55">
        <w:rPr>
          <w:b/>
          <w:bCs/>
          <w:sz w:val="20"/>
          <w:szCs w:val="20"/>
        </w:rPr>
        <w:t>C</w:t>
      </w:r>
      <w:r w:rsidRPr="00335FCF">
        <w:rPr>
          <w:b/>
          <w:bCs/>
          <w:sz w:val="20"/>
          <w:szCs w:val="20"/>
        </w:rPr>
        <w:t>ommunes</w:t>
      </w:r>
    </w:p>
    <w:p w14:paraId="230E5288" w14:textId="22E8154B" w:rsidR="00DF4E0A" w:rsidRPr="00BC286C" w:rsidRDefault="00DF4E0A" w:rsidP="00A93A55">
      <w:pPr>
        <w:jc w:val="both"/>
        <w:rPr>
          <w:sz w:val="20"/>
          <w:szCs w:val="20"/>
        </w:rPr>
      </w:pPr>
      <w:r w:rsidRPr="00A93A55">
        <w:rPr>
          <w:sz w:val="20"/>
          <w:szCs w:val="20"/>
        </w:rPr>
        <w:t xml:space="preserve">Six secteurs pour associer les </w:t>
      </w:r>
      <w:r w:rsidR="00A93A55" w:rsidRPr="00A93A55">
        <w:rPr>
          <w:sz w:val="20"/>
          <w:szCs w:val="20"/>
        </w:rPr>
        <w:t>C</w:t>
      </w:r>
      <w:r w:rsidRPr="00A93A55">
        <w:rPr>
          <w:sz w:val="20"/>
          <w:szCs w:val="20"/>
        </w:rPr>
        <w:t>ommunes à la réflexion</w:t>
      </w:r>
      <w:r w:rsidR="00A93A55">
        <w:rPr>
          <w:sz w:val="20"/>
          <w:szCs w:val="20"/>
        </w:rPr>
        <w:t xml:space="preserve"> : </w:t>
      </w:r>
      <w:r w:rsidRPr="00335FCF">
        <w:rPr>
          <w:sz w:val="20"/>
          <w:szCs w:val="20"/>
        </w:rPr>
        <w:t xml:space="preserve">Le travail a déjà commencé avec les élus des </w:t>
      </w:r>
      <w:r w:rsidR="00A93A55">
        <w:rPr>
          <w:sz w:val="20"/>
          <w:szCs w:val="20"/>
        </w:rPr>
        <w:t>C</w:t>
      </w:r>
      <w:r w:rsidRPr="00335FCF">
        <w:rPr>
          <w:sz w:val="20"/>
          <w:szCs w:val="20"/>
        </w:rPr>
        <w:t xml:space="preserve">ommunes. Des réunions ont été organisées à l’échelle </w:t>
      </w:r>
      <w:r w:rsidRPr="00BC286C">
        <w:rPr>
          <w:sz w:val="20"/>
          <w:szCs w:val="20"/>
        </w:rPr>
        <w:t>des six secteurs du Grand-Figeac</w:t>
      </w:r>
      <w:r w:rsidR="0031120B">
        <w:rPr>
          <w:sz w:val="20"/>
          <w:szCs w:val="20"/>
        </w:rPr>
        <w:t xml:space="preserve"> avant l’été</w:t>
      </w:r>
      <w:r w:rsidRPr="00BC286C">
        <w:rPr>
          <w:sz w:val="20"/>
          <w:szCs w:val="20"/>
        </w:rPr>
        <w:t>.</w:t>
      </w:r>
    </w:p>
    <w:p w14:paraId="7780F7D4" w14:textId="3930694A" w:rsidR="00DF4E0A" w:rsidRPr="00BC286C" w:rsidRDefault="00DF4E0A" w:rsidP="00A93A55">
      <w:pPr>
        <w:jc w:val="both"/>
        <w:rPr>
          <w:sz w:val="20"/>
          <w:szCs w:val="20"/>
        </w:rPr>
      </w:pPr>
      <w:r w:rsidRPr="00335FCF">
        <w:rPr>
          <w:sz w:val="20"/>
          <w:szCs w:val="20"/>
        </w:rPr>
        <w:t xml:space="preserve">Ces rencontres ont permis de présenter le cadre juridique et le déroulement des deux procédures de modification </w:t>
      </w:r>
      <w:r w:rsidR="00BC286C">
        <w:rPr>
          <w:sz w:val="20"/>
          <w:szCs w:val="20"/>
        </w:rPr>
        <w:t>engagées</w:t>
      </w:r>
      <w:r w:rsidRPr="00335FCF">
        <w:rPr>
          <w:sz w:val="20"/>
          <w:szCs w:val="20"/>
        </w:rPr>
        <w:t xml:space="preserve">, avec ou sans évaluation environnementale. Elles ont également permis de faire émerger les principaux sujets d’évolution déjà </w:t>
      </w:r>
      <w:r w:rsidRPr="00BC286C">
        <w:rPr>
          <w:sz w:val="20"/>
          <w:szCs w:val="20"/>
        </w:rPr>
        <w:t xml:space="preserve">identifiés : agriculture, habitat, énergies renouvelables, </w:t>
      </w:r>
      <w:r w:rsidR="0031120B">
        <w:rPr>
          <w:sz w:val="20"/>
          <w:szCs w:val="20"/>
        </w:rPr>
        <w:t>secteurs d’aménagement</w:t>
      </w:r>
      <w:r w:rsidRPr="00BC286C">
        <w:rPr>
          <w:sz w:val="20"/>
          <w:szCs w:val="20"/>
        </w:rPr>
        <w:t>, patrimoine, règlement écrit, zonages, entre autres.</w:t>
      </w:r>
    </w:p>
    <w:p w14:paraId="29B08AB6" w14:textId="77777777" w:rsidR="00DF4E0A" w:rsidRPr="00335FCF" w:rsidRDefault="00DF4E0A" w:rsidP="00A93A55">
      <w:pPr>
        <w:jc w:val="both"/>
        <w:rPr>
          <w:sz w:val="20"/>
          <w:szCs w:val="20"/>
        </w:rPr>
      </w:pPr>
    </w:p>
    <w:p w14:paraId="74C623FB" w14:textId="39981FA2" w:rsidR="00DF4E0A" w:rsidRPr="00335FCF" w:rsidRDefault="00DF4E0A" w:rsidP="00A93A55">
      <w:pPr>
        <w:jc w:val="both"/>
        <w:rPr>
          <w:sz w:val="20"/>
          <w:szCs w:val="20"/>
        </w:rPr>
      </w:pPr>
      <w:r w:rsidRPr="00335FCF">
        <w:rPr>
          <w:sz w:val="20"/>
          <w:szCs w:val="20"/>
        </w:rPr>
        <w:t xml:space="preserve">Les premières observations et les souhaits d’évolution des représentants des </w:t>
      </w:r>
      <w:r w:rsidR="00BC286C">
        <w:rPr>
          <w:sz w:val="20"/>
          <w:szCs w:val="20"/>
        </w:rPr>
        <w:t>C</w:t>
      </w:r>
      <w:r w:rsidRPr="00335FCF">
        <w:rPr>
          <w:sz w:val="20"/>
          <w:szCs w:val="20"/>
        </w:rPr>
        <w:t>ommunes ont également été recueillis, dans le respect du cadre réglementaire.</w:t>
      </w:r>
    </w:p>
    <w:p w14:paraId="705F5967" w14:textId="371332EC" w:rsidR="00DF4E0A" w:rsidRPr="00335FCF" w:rsidRDefault="00DF4E0A" w:rsidP="00A93A55">
      <w:pPr>
        <w:jc w:val="both"/>
        <w:rPr>
          <w:sz w:val="20"/>
          <w:szCs w:val="20"/>
        </w:rPr>
      </w:pPr>
      <w:r w:rsidRPr="00335FCF">
        <w:rPr>
          <w:sz w:val="20"/>
          <w:szCs w:val="20"/>
        </w:rPr>
        <w:t>Les élus vont poursuivre cette réflexion au sein de leurs instances respectives afin d’enrichir les thèmes déjà identifiés en fonction des enjeux locaux et des</w:t>
      </w:r>
      <w:r w:rsidR="0031120B">
        <w:rPr>
          <w:sz w:val="20"/>
          <w:szCs w:val="20"/>
        </w:rPr>
        <w:t xml:space="preserve"> projets des nouvelles équipes municipales.</w:t>
      </w:r>
    </w:p>
    <w:p w14:paraId="14F5C320" w14:textId="77777777" w:rsidR="00DF4E0A" w:rsidRPr="00335FCF" w:rsidRDefault="00DF4E0A" w:rsidP="00A93A55">
      <w:pPr>
        <w:jc w:val="both"/>
        <w:rPr>
          <w:sz w:val="20"/>
          <w:szCs w:val="20"/>
        </w:rPr>
      </w:pPr>
    </w:p>
    <w:p w14:paraId="334B5C19" w14:textId="2C2D3A4B" w:rsidR="00DF4E0A" w:rsidRPr="00335FCF" w:rsidRDefault="00DF4E0A" w:rsidP="00A93A55">
      <w:pPr>
        <w:jc w:val="both"/>
        <w:rPr>
          <w:b/>
          <w:bCs/>
          <w:sz w:val="20"/>
          <w:szCs w:val="20"/>
        </w:rPr>
      </w:pPr>
      <w:r w:rsidRPr="00335FCF">
        <w:rPr>
          <w:b/>
          <w:bCs/>
          <w:sz w:val="20"/>
          <w:szCs w:val="20"/>
        </w:rPr>
        <w:t xml:space="preserve">Les habitants aussi </w:t>
      </w:r>
      <w:r w:rsidR="00BC286C">
        <w:rPr>
          <w:b/>
          <w:bCs/>
          <w:sz w:val="20"/>
          <w:szCs w:val="20"/>
        </w:rPr>
        <w:t xml:space="preserve">sont </w:t>
      </w:r>
      <w:r w:rsidRPr="00335FCF">
        <w:rPr>
          <w:b/>
          <w:bCs/>
          <w:sz w:val="20"/>
          <w:szCs w:val="20"/>
        </w:rPr>
        <w:t>invités à participer</w:t>
      </w:r>
    </w:p>
    <w:p w14:paraId="6D18EAC5" w14:textId="77777777" w:rsidR="00DF4E0A" w:rsidRPr="00335FCF" w:rsidRDefault="00DF4E0A" w:rsidP="00A93A55">
      <w:pPr>
        <w:jc w:val="both"/>
        <w:rPr>
          <w:sz w:val="20"/>
          <w:szCs w:val="20"/>
        </w:rPr>
      </w:pPr>
      <w:r w:rsidRPr="00335FCF">
        <w:rPr>
          <w:sz w:val="20"/>
          <w:szCs w:val="20"/>
        </w:rPr>
        <w:t>Cette évolution du PLUi concerne directement l’aménagement du territoire. La population est donc associée à la démarche à travers une concertation publique.</w:t>
      </w:r>
    </w:p>
    <w:p w14:paraId="6FF3708A" w14:textId="77777777" w:rsidR="00DF4E0A" w:rsidRPr="00335FCF" w:rsidRDefault="00DF4E0A" w:rsidP="00A93A55">
      <w:pPr>
        <w:jc w:val="both"/>
        <w:rPr>
          <w:sz w:val="20"/>
          <w:szCs w:val="20"/>
        </w:rPr>
      </w:pPr>
      <w:r w:rsidRPr="00335FCF">
        <w:rPr>
          <w:sz w:val="20"/>
          <w:szCs w:val="20"/>
        </w:rPr>
        <w:lastRenderedPageBreak/>
        <w:t>Plusieurs moyens sont prévus pour permettre aux habitants de s’informer et de faire connaître leurs observations.</w:t>
      </w:r>
    </w:p>
    <w:p w14:paraId="69314A67" w14:textId="0383DDEC" w:rsidR="00DF4E0A" w:rsidRPr="00335FCF" w:rsidRDefault="00DF4E0A" w:rsidP="00A93A55">
      <w:pPr>
        <w:jc w:val="both"/>
        <w:rPr>
          <w:sz w:val="20"/>
          <w:szCs w:val="20"/>
        </w:rPr>
      </w:pPr>
      <w:r w:rsidRPr="00335FCF">
        <w:rPr>
          <w:sz w:val="20"/>
          <w:szCs w:val="20"/>
        </w:rPr>
        <w:t xml:space="preserve">L’information du public sera assurée notamment par des articles de presse, des articles publiés sur le site du Grand-Figeac et le </w:t>
      </w:r>
      <w:r w:rsidR="0031120B">
        <w:rPr>
          <w:sz w:val="20"/>
          <w:szCs w:val="20"/>
        </w:rPr>
        <w:t>journal</w:t>
      </w:r>
      <w:r w:rsidRPr="00335FCF">
        <w:rPr>
          <w:sz w:val="20"/>
          <w:szCs w:val="20"/>
        </w:rPr>
        <w:t xml:space="preserve"> communautaire.</w:t>
      </w:r>
    </w:p>
    <w:p w14:paraId="23003D64" w14:textId="77777777" w:rsidR="00DF4E0A" w:rsidRPr="00335FCF" w:rsidRDefault="00DF4E0A" w:rsidP="00A93A55">
      <w:pPr>
        <w:jc w:val="both"/>
        <w:rPr>
          <w:sz w:val="20"/>
          <w:szCs w:val="20"/>
        </w:rPr>
      </w:pPr>
      <w:r w:rsidRPr="00335FCF">
        <w:rPr>
          <w:sz w:val="20"/>
          <w:szCs w:val="20"/>
        </w:rPr>
        <w:t>Chacun pourra également adresser un courrier à l’attention de M. le Président du Grand-Figeac.</w:t>
      </w:r>
    </w:p>
    <w:p w14:paraId="5B3FF55A" w14:textId="2CF90F36" w:rsidR="00DF4E0A" w:rsidRPr="00335FCF" w:rsidRDefault="00DF4E0A" w:rsidP="00A93A55">
      <w:pPr>
        <w:jc w:val="both"/>
        <w:rPr>
          <w:sz w:val="20"/>
          <w:szCs w:val="20"/>
        </w:rPr>
      </w:pPr>
      <w:r w:rsidRPr="00335FCF">
        <w:rPr>
          <w:sz w:val="20"/>
          <w:szCs w:val="20"/>
        </w:rPr>
        <w:t>Enfin, une contribution pourra être déposée sur le registre dématérialisé. Les contributions déposées sur ce registre sont consultables</w:t>
      </w:r>
      <w:r w:rsidR="00BC286C">
        <w:rPr>
          <w:sz w:val="20"/>
          <w:szCs w:val="20"/>
        </w:rPr>
        <w:t xml:space="preserve"> par tout un chacun. (</w:t>
      </w:r>
      <w:r w:rsidR="0031120B">
        <w:rPr>
          <w:sz w:val="20"/>
          <w:szCs w:val="20"/>
        </w:rPr>
        <w:t>Lien</w:t>
      </w:r>
      <w:r w:rsidR="00BC286C">
        <w:rPr>
          <w:sz w:val="20"/>
          <w:szCs w:val="20"/>
        </w:rPr>
        <w:t xml:space="preserve"> à venir sur le site du Grand-Figeac)</w:t>
      </w:r>
      <w:r w:rsidR="00BC286C">
        <w:rPr>
          <w:sz w:val="20"/>
          <w:szCs w:val="20"/>
        </w:rPr>
        <w:tab/>
      </w:r>
    </w:p>
    <w:p w14:paraId="3FB4573C" w14:textId="77777777" w:rsidR="00DF4E0A" w:rsidRPr="00335FCF" w:rsidRDefault="00DF4E0A" w:rsidP="00A93A55">
      <w:pPr>
        <w:jc w:val="both"/>
        <w:rPr>
          <w:sz w:val="20"/>
          <w:szCs w:val="20"/>
        </w:rPr>
      </w:pPr>
    </w:p>
    <w:p w14:paraId="1BC5842B" w14:textId="77777777" w:rsidR="00555E76" w:rsidRPr="00335FCF" w:rsidRDefault="00555E76" w:rsidP="00A93A55">
      <w:pPr>
        <w:jc w:val="both"/>
      </w:pPr>
    </w:p>
    <w:p w14:paraId="311B9860" w14:textId="77777777" w:rsidR="00785C8D" w:rsidRPr="00335FCF" w:rsidRDefault="00785C8D" w:rsidP="00A93A55">
      <w:pPr>
        <w:jc w:val="both"/>
      </w:pPr>
    </w:p>
    <w:p w14:paraId="5353539C" w14:textId="3B31852C" w:rsidR="00785C8D" w:rsidRPr="00335FCF" w:rsidRDefault="00785C8D" w:rsidP="00A93A55">
      <w:pPr>
        <w:jc w:val="both"/>
      </w:pPr>
      <w:r w:rsidRPr="00335FCF">
        <w:t>R. CRESSON</w:t>
      </w:r>
    </w:p>
    <w:p w14:paraId="176E31D4" w14:textId="267EF093" w:rsidR="00785C8D" w:rsidRPr="00335FCF" w:rsidRDefault="00785C8D" w:rsidP="00A93A55">
      <w:pPr>
        <w:jc w:val="both"/>
      </w:pPr>
      <w:r w:rsidRPr="00335FCF">
        <w:t>03/09/2026</w:t>
      </w:r>
    </w:p>
    <w:sectPr w:rsidR="00785C8D" w:rsidRPr="00335FCF" w:rsidSect="00DF4E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E0A"/>
    <w:rsid w:val="002245ED"/>
    <w:rsid w:val="00246092"/>
    <w:rsid w:val="0031120B"/>
    <w:rsid w:val="00335FCF"/>
    <w:rsid w:val="00453E45"/>
    <w:rsid w:val="00513D36"/>
    <w:rsid w:val="00555E76"/>
    <w:rsid w:val="006F3176"/>
    <w:rsid w:val="00747B33"/>
    <w:rsid w:val="00785C8D"/>
    <w:rsid w:val="00883913"/>
    <w:rsid w:val="00A93A55"/>
    <w:rsid w:val="00B02F0D"/>
    <w:rsid w:val="00B225D5"/>
    <w:rsid w:val="00BC286C"/>
    <w:rsid w:val="00DF4E0A"/>
    <w:rsid w:val="00EF72DC"/>
    <w:rsid w:val="00FA10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1D89A"/>
  <w15:chartTrackingRefBased/>
  <w15:docId w15:val="{5C8DA390-8F07-4FE3-86CE-EB0A92D93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E0A"/>
    <w:pPr>
      <w:spacing w:after="0" w:line="240" w:lineRule="auto"/>
    </w:pPr>
    <w:rPr>
      <w:rFonts w:ascii="Century Gothic" w:hAnsi="Century Gothic"/>
      <w:sz w:val="22"/>
    </w:rPr>
  </w:style>
  <w:style w:type="paragraph" w:styleId="Titre1">
    <w:name w:val="heading 1"/>
    <w:basedOn w:val="Normal"/>
    <w:next w:val="Normal"/>
    <w:link w:val="Titre1Car"/>
    <w:uiPriority w:val="9"/>
    <w:qFormat/>
    <w:rsid w:val="00EF72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F4E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F4E0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F4E0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DF4E0A"/>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DF4E0A"/>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DF4E0A"/>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DF4E0A"/>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DF4E0A"/>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next w:val="Titre1"/>
    <w:link w:val="Style1Car"/>
    <w:autoRedefine/>
    <w:qFormat/>
    <w:rsid w:val="00EF72DC"/>
    <w:pPr>
      <w:shd w:val="pct10" w:color="auto" w:fill="auto"/>
      <w:jc w:val="both"/>
    </w:pPr>
    <w:rPr>
      <w:b/>
      <w:bCs/>
      <w:sz w:val="20"/>
      <w:szCs w:val="20"/>
    </w:rPr>
  </w:style>
  <w:style w:type="character" w:customStyle="1" w:styleId="Style1Car">
    <w:name w:val="Style1 Car"/>
    <w:basedOn w:val="Policepardfaut"/>
    <w:link w:val="Style1"/>
    <w:rsid w:val="00EF72DC"/>
    <w:rPr>
      <w:rFonts w:ascii="Century Gothic" w:hAnsi="Century Gothic"/>
      <w:b/>
      <w:bCs/>
      <w:sz w:val="20"/>
      <w:szCs w:val="20"/>
      <w:shd w:val="pct10" w:color="auto" w:fill="auto"/>
    </w:rPr>
  </w:style>
  <w:style w:type="character" w:customStyle="1" w:styleId="Titre1Car">
    <w:name w:val="Titre 1 Car"/>
    <w:basedOn w:val="Policepardfaut"/>
    <w:link w:val="Titre1"/>
    <w:uiPriority w:val="9"/>
    <w:rsid w:val="00EF72D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F4E0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F4E0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F4E0A"/>
    <w:rPr>
      <w:rFonts w:eastAsiaTheme="majorEastAsia" w:cstheme="majorBidi"/>
      <w:i/>
      <w:iCs/>
      <w:color w:val="0F4761" w:themeColor="accent1" w:themeShade="BF"/>
      <w:sz w:val="22"/>
    </w:rPr>
  </w:style>
  <w:style w:type="character" w:customStyle="1" w:styleId="Titre5Car">
    <w:name w:val="Titre 5 Car"/>
    <w:basedOn w:val="Policepardfaut"/>
    <w:link w:val="Titre5"/>
    <w:uiPriority w:val="9"/>
    <w:semiHidden/>
    <w:rsid w:val="00DF4E0A"/>
    <w:rPr>
      <w:rFonts w:eastAsiaTheme="majorEastAsia" w:cstheme="majorBidi"/>
      <w:color w:val="0F4761" w:themeColor="accent1" w:themeShade="BF"/>
      <w:sz w:val="22"/>
    </w:rPr>
  </w:style>
  <w:style w:type="character" w:customStyle="1" w:styleId="Titre6Car">
    <w:name w:val="Titre 6 Car"/>
    <w:basedOn w:val="Policepardfaut"/>
    <w:link w:val="Titre6"/>
    <w:uiPriority w:val="9"/>
    <w:semiHidden/>
    <w:rsid w:val="00DF4E0A"/>
    <w:rPr>
      <w:rFonts w:eastAsiaTheme="majorEastAsia" w:cstheme="majorBidi"/>
      <w:i/>
      <w:iCs/>
      <w:color w:val="595959" w:themeColor="text1" w:themeTint="A6"/>
      <w:sz w:val="22"/>
    </w:rPr>
  </w:style>
  <w:style w:type="character" w:customStyle="1" w:styleId="Titre7Car">
    <w:name w:val="Titre 7 Car"/>
    <w:basedOn w:val="Policepardfaut"/>
    <w:link w:val="Titre7"/>
    <w:uiPriority w:val="9"/>
    <w:semiHidden/>
    <w:rsid w:val="00DF4E0A"/>
    <w:rPr>
      <w:rFonts w:eastAsiaTheme="majorEastAsia" w:cstheme="majorBidi"/>
      <w:color w:val="595959" w:themeColor="text1" w:themeTint="A6"/>
      <w:sz w:val="22"/>
    </w:rPr>
  </w:style>
  <w:style w:type="character" w:customStyle="1" w:styleId="Titre8Car">
    <w:name w:val="Titre 8 Car"/>
    <w:basedOn w:val="Policepardfaut"/>
    <w:link w:val="Titre8"/>
    <w:uiPriority w:val="9"/>
    <w:semiHidden/>
    <w:rsid w:val="00DF4E0A"/>
    <w:rPr>
      <w:rFonts w:eastAsiaTheme="majorEastAsia" w:cstheme="majorBidi"/>
      <w:i/>
      <w:iCs/>
      <w:color w:val="272727" w:themeColor="text1" w:themeTint="D8"/>
      <w:sz w:val="22"/>
    </w:rPr>
  </w:style>
  <w:style w:type="character" w:customStyle="1" w:styleId="Titre9Car">
    <w:name w:val="Titre 9 Car"/>
    <w:basedOn w:val="Policepardfaut"/>
    <w:link w:val="Titre9"/>
    <w:uiPriority w:val="9"/>
    <w:semiHidden/>
    <w:rsid w:val="00DF4E0A"/>
    <w:rPr>
      <w:rFonts w:eastAsiaTheme="majorEastAsia" w:cstheme="majorBidi"/>
      <w:color w:val="272727" w:themeColor="text1" w:themeTint="D8"/>
      <w:sz w:val="22"/>
    </w:rPr>
  </w:style>
  <w:style w:type="paragraph" w:styleId="Titre">
    <w:name w:val="Title"/>
    <w:basedOn w:val="Normal"/>
    <w:next w:val="Normal"/>
    <w:link w:val="TitreCar"/>
    <w:uiPriority w:val="10"/>
    <w:qFormat/>
    <w:rsid w:val="00DF4E0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F4E0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F4E0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F4E0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F4E0A"/>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DF4E0A"/>
    <w:rPr>
      <w:rFonts w:ascii="Century Gothic" w:hAnsi="Century Gothic"/>
      <w:i/>
      <w:iCs/>
      <w:color w:val="404040" w:themeColor="text1" w:themeTint="BF"/>
      <w:sz w:val="22"/>
    </w:rPr>
  </w:style>
  <w:style w:type="paragraph" w:styleId="Paragraphedeliste">
    <w:name w:val="List Paragraph"/>
    <w:basedOn w:val="Normal"/>
    <w:uiPriority w:val="34"/>
    <w:qFormat/>
    <w:rsid w:val="00DF4E0A"/>
    <w:pPr>
      <w:ind w:left="720"/>
      <w:contextualSpacing/>
    </w:pPr>
  </w:style>
  <w:style w:type="character" w:styleId="Accentuationintense">
    <w:name w:val="Intense Emphasis"/>
    <w:basedOn w:val="Policepardfaut"/>
    <w:uiPriority w:val="21"/>
    <w:qFormat/>
    <w:rsid w:val="00DF4E0A"/>
    <w:rPr>
      <w:i/>
      <w:iCs/>
      <w:color w:val="0F4761" w:themeColor="accent1" w:themeShade="BF"/>
    </w:rPr>
  </w:style>
  <w:style w:type="paragraph" w:styleId="Citationintense">
    <w:name w:val="Intense Quote"/>
    <w:basedOn w:val="Normal"/>
    <w:next w:val="Normal"/>
    <w:link w:val="CitationintenseCar"/>
    <w:uiPriority w:val="30"/>
    <w:qFormat/>
    <w:rsid w:val="00DF4E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F4E0A"/>
    <w:rPr>
      <w:rFonts w:ascii="Century Gothic" w:hAnsi="Century Gothic"/>
      <w:i/>
      <w:iCs/>
      <w:color w:val="0F4761" w:themeColor="accent1" w:themeShade="BF"/>
      <w:sz w:val="22"/>
    </w:rPr>
  </w:style>
  <w:style w:type="character" w:styleId="Rfrenceintense">
    <w:name w:val="Intense Reference"/>
    <w:basedOn w:val="Policepardfaut"/>
    <w:uiPriority w:val="32"/>
    <w:qFormat/>
    <w:rsid w:val="00DF4E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B69894E784144D892608923B064CCA" ma:contentTypeVersion="15" ma:contentTypeDescription="Crée un document." ma:contentTypeScope="" ma:versionID="3355d2ef6ea89721ec597fb8adfae15e">
  <xsd:schema xmlns:xsd="http://www.w3.org/2001/XMLSchema" xmlns:xs="http://www.w3.org/2001/XMLSchema" xmlns:p="http://schemas.microsoft.com/office/2006/metadata/properties" xmlns:ns2="5cc0ec74-e3e4-4851-b587-283a28307b23" xmlns:ns3="b98a1691-f504-42c3-a124-d2ffab035e22" targetNamespace="http://schemas.microsoft.com/office/2006/metadata/properties" ma:root="true" ma:fieldsID="9e08fa22fed01aa2e00ad8aae7eeb37e" ns2:_="" ns3:_="">
    <xsd:import namespace="5cc0ec74-e3e4-4851-b587-283a28307b23"/>
    <xsd:import namespace="b98a1691-f504-42c3-a124-d2ffab035e2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0ec74-e3e4-4851-b587-283a28307b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94d83aff-e750-444d-8b75-6da1498ac7c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8a1691-f504-42c3-a124-d2ffab035e22"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c0ec74-e3e4-4851-b587-283a28307b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4CDDDC-C8FE-47C2-9468-23EAE1C79014}"/>
</file>

<file path=customXml/itemProps2.xml><?xml version="1.0" encoding="utf-8"?>
<ds:datastoreItem xmlns:ds="http://schemas.openxmlformats.org/officeDocument/2006/customXml" ds:itemID="{B744FD55-174A-4A24-8CD6-26BD42A2B382}"/>
</file>

<file path=customXml/itemProps3.xml><?xml version="1.0" encoding="utf-8"?>
<ds:datastoreItem xmlns:ds="http://schemas.openxmlformats.org/officeDocument/2006/customXml" ds:itemID="{AB781641-F281-423D-8D1C-BE9DD33F90D5}"/>
</file>

<file path=docProps/app.xml><?xml version="1.0" encoding="utf-8"?>
<Properties xmlns="http://schemas.openxmlformats.org/officeDocument/2006/extended-properties" xmlns:vt="http://schemas.openxmlformats.org/officeDocument/2006/docPropsVTypes">
  <Template>Normal.dotm</Template>
  <TotalTime>35</TotalTime>
  <Pages>2</Pages>
  <Words>635</Words>
  <Characters>3498</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r.cresson</dc:creator>
  <cp:keywords/>
  <dc:description/>
  <cp:lastModifiedBy>Carol JAMGOTCHIAN (Grand-Figeac)</cp:lastModifiedBy>
  <cp:revision>5</cp:revision>
  <cp:lastPrinted>2026-09-04T14:48:00Z</cp:lastPrinted>
  <dcterms:created xsi:type="dcterms:W3CDTF">2026-09-09T10:10:00Z</dcterms:created>
  <dcterms:modified xsi:type="dcterms:W3CDTF">2026-09-09T10:40:00Z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0x0101000CB69894E784144D892608923B064CCA</vt:lpwstr>
  </property>
</Properties>
</file>